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2026-0295-66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Relinging von Straßenablaufanschlussleitungen 2026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Die Arbeiten umfassen überwiegend die Renovierung schadhafter Straßenablaufanschlussleitungen im Schlauchreliningverfahren. Es handelt sich dabei um ca. 70 einzelne, in sich abgeschlossene Reliningmaßnahmen, die sich über das gesamte Stadtgebiet Münsters verteilen.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